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C1" w:rsidRPr="001455EE" w:rsidRDefault="00432AC1" w:rsidP="00432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5EE">
        <w:rPr>
          <w:rFonts w:ascii="Times New Roman" w:hAnsi="Times New Roman" w:cs="Times New Roman"/>
          <w:b/>
          <w:sz w:val="32"/>
          <w:szCs w:val="32"/>
        </w:rPr>
        <w:t>Порядок и условия предоставления медицинской помощи в соответствии с программой и территориальной программой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AC1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</w:r>
    </w:p>
    <w:p w:rsidR="0097502C" w:rsidRDefault="0097502C"/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 w:rsidRPr="00432AC1">
        <w:rPr>
          <w:rFonts w:ascii="Times New Roman" w:hAnsi="Times New Roman" w:cs="Times New Roman"/>
          <w:sz w:val="28"/>
          <w:szCs w:val="28"/>
        </w:rPr>
        <w:t xml:space="preserve"> затрат на единицу объема медицинской помощи, средние </w:t>
      </w:r>
      <w:proofErr w:type="spellStart"/>
      <w:r w:rsidRPr="00432AC1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432AC1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C1">
        <w:rPr>
          <w:rFonts w:ascii="Times New Roman" w:hAnsi="Times New Roman" w:cs="Times New Roman"/>
          <w:sz w:val="28"/>
          <w:szCs w:val="28"/>
        </w:rP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C1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 соответствии с Программой разрабатывают и утверждаюттерриториальные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  <w:proofErr w:type="gramEnd"/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2" w:rsidRPr="00D21277" w:rsidRDefault="00262C72" w:rsidP="00262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7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медицинская помощь, оказываемая медицинскими организациями.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Программе в значении, определенном в федеральных законах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2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практики (семейными врачами).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нологичную, медицинскую помощь.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медицинскую реабилитацию.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нологичной медицинской помощи).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медицинского вмешательства.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 здравоохранения бесплатно.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и стихийных бедствий).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медицинского оборудования.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неизлечимо больных граждан.</w:t>
      </w:r>
    </w:p>
    <w:p w:rsid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оказывается в следующих формах: 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авляющих угрозу жизни пациента;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ризнаков угрозы жизни пациента;</w:t>
      </w:r>
    </w:p>
    <w:p w:rsidR="00432AC1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здоровью.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C1" w:rsidRPr="007605D9" w:rsidRDefault="00432AC1" w:rsidP="0076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7605D9" w:rsidRPr="007605D9" w:rsidRDefault="007605D9" w:rsidP="007605D9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 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1.У</w:t>
      </w:r>
      <w:r w:rsidRPr="007605D9">
        <w:rPr>
          <w:bCs/>
          <w:color w:val="000000"/>
          <w:sz w:val="28"/>
          <w:szCs w:val="28"/>
        </w:rPr>
        <w:t>словия реализации установленного </w:t>
      </w:r>
      <w:hyperlink r:id="rId5" w:anchor="block_195" w:history="1">
        <w:r w:rsidRPr="007605D9">
          <w:rPr>
            <w:rStyle w:val="a3"/>
            <w:bCs/>
            <w:color w:val="3272C0"/>
            <w:sz w:val="28"/>
            <w:szCs w:val="28"/>
          </w:rPr>
          <w:t>законодательством</w:t>
        </w:r>
      </w:hyperlink>
      <w:r w:rsidRPr="007605D9">
        <w:rPr>
          <w:bCs/>
          <w:color w:val="000000"/>
          <w:sz w:val="28"/>
          <w:szCs w:val="28"/>
        </w:rPr>
        <w:t> 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2.П</w:t>
      </w:r>
      <w:r w:rsidRPr="007605D9">
        <w:rPr>
          <w:bCs/>
          <w:color w:val="000000"/>
          <w:sz w:val="28"/>
          <w:szCs w:val="28"/>
        </w:rPr>
        <w:t>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3.П</w:t>
      </w:r>
      <w:r w:rsidR="007605D9" w:rsidRPr="007605D9">
        <w:rPr>
          <w:bCs/>
          <w:color w:val="000000"/>
          <w:sz w:val="28"/>
          <w:szCs w:val="28"/>
        </w:rPr>
        <w:t>еречень лекарственных препаратов, отпускаемых населению в соответствии с </w:t>
      </w:r>
      <w:hyperlink r:id="rId6" w:anchor="block_1000" w:history="1">
        <w:r w:rsidR="007605D9" w:rsidRPr="007605D9">
          <w:rPr>
            <w:rStyle w:val="a3"/>
            <w:bCs/>
            <w:color w:val="3272C0"/>
            <w:sz w:val="28"/>
            <w:szCs w:val="28"/>
          </w:rPr>
          <w:t>перечнем</w:t>
        </w:r>
      </w:hyperlink>
      <w:r w:rsidR="007605D9" w:rsidRPr="007605D9">
        <w:rPr>
          <w:bCs/>
          <w:color w:val="000000"/>
          <w:sz w:val="28"/>
          <w:szCs w:val="28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 </w:t>
      </w:r>
      <w:hyperlink r:id="rId7" w:anchor="block_2000" w:history="1">
        <w:r w:rsidR="007605D9" w:rsidRPr="007605D9">
          <w:rPr>
            <w:rStyle w:val="a3"/>
            <w:bCs/>
            <w:color w:val="3272C0"/>
            <w:sz w:val="28"/>
            <w:szCs w:val="28"/>
          </w:rPr>
          <w:t>перечнем</w:t>
        </w:r>
      </w:hyperlink>
      <w:r w:rsidR="007605D9" w:rsidRPr="007605D9">
        <w:rPr>
          <w:bCs/>
          <w:color w:val="000000"/>
          <w:sz w:val="28"/>
          <w:szCs w:val="28"/>
        </w:rPr>
        <w:t> групп населения, при амбулаторном лечении которых лекарственные препараты отпускаются по рецептам врачей с 50-процентной скидкой;</w:t>
      </w:r>
      <w:proofErr w:type="gramEnd"/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4.П</w:t>
      </w:r>
      <w:r w:rsidR="007605D9" w:rsidRPr="007605D9">
        <w:rPr>
          <w:bCs/>
          <w:color w:val="000000"/>
          <w:sz w:val="28"/>
          <w:szCs w:val="28"/>
        </w:rPr>
        <w:t>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 </w:t>
      </w:r>
      <w:hyperlink r:id="rId8" w:anchor="block_1000" w:history="1">
        <w:r w:rsidR="007605D9" w:rsidRPr="007605D9">
          <w:rPr>
            <w:rStyle w:val="a3"/>
            <w:bCs/>
            <w:color w:val="3272C0"/>
            <w:sz w:val="28"/>
            <w:szCs w:val="28"/>
          </w:rPr>
          <w:t>перечень</w:t>
        </w:r>
      </w:hyperlink>
      <w:r w:rsidR="007605D9" w:rsidRPr="007605D9">
        <w:rPr>
          <w:bCs/>
          <w:color w:val="000000"/>
          <w:sz w:val="28"/>
          <w:szCs w:val="28"/>
        </w:rPr>
        <w:t> 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 w:rsidR="007605D9" w:rsidRPr="007605D9">
        <w:rPr>
          <w:bCs/>
          <w:color w:val="000000"/>
          <w:sz w:val="28"/>
          <w:szCs w:val="28"/>
        </w:rPr>
        <w:t>, за исключением лечебного питания, в том числе специализированных продуктов лечебного питания, по желанию пациента;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5.П</w:t>
      </w:r>
      <w:r w:rsidR="007605D9" w:rsidRPr="007605D9">
        <w:rPr>
          <w:bCs/>
          <w:color w:val="000000"/>
          <w:sz w:val="28"/>
          <w:szCs w:val="28"/>
        </w:rPr>
        <w:t>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6.У</w:t>
      </w:r>
      <w:r w:rsidR="007605D9" w:rsidRPr="007605D9">
        <w:rPr>
          <w:bCs/>
          <w:color w:val="000000"/>
          <w:sz w:val="28"/>
          <w:szCs w:val="28"/>
        </w:rPr>
        <w:t>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 лет, а с ребенком старше указанного возраста - при наличии медицинских показаний;</w:t>
      </w:r>
      <w:proofErr w:type="gramEnd"/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7.У</w:t>
      </w:r>
      <w:r w:rsidR="007605D9" w:rsidRPr="007605D9">
        <w:rPr>
          <w:bCs/>
          <w:color w:val="000000"/>
          <w:sz w:val="28"/>
          <w:szCs w:val="28"/>
        </w:rPr>
        <w:t>словия размещения пациентов в маломестных палатах (боксах) по медицинским и (или) эпидемиологическим показаниям, установленным Министерством здравоохранения Российской Федерации;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8.У</w:t>
      </w:r>
      <w:r w:rsidR="007605D9" w:rsidRPr="007605D9">
        <w:rPr>
          <w:bCs/>
          <w:color w:val="000000"/>
          <w:sz w:val="28"/>
          <w:szCs w:val="28"/>
        </w:rPr>
        <w:t>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9.П</w:t>
      </w:r>
      <w:r w:rsidR="007605D9" w:rsidRPr="007605D9">
        <w:rPr>
          <w:bCs/>
          <w:color w:val="000000"/>
          <w:sz w:val="28"/>
          <w:szCs w:val="28"/>
        </w:rPr>
        <w:t>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10.У</w:t>
      </w:r>
      <w:r w:rsidR="007605D9" w:rsidRPr="007605D9">
        <w:rPr>
          <w:bCs/>
          <w:color w:val="000000"/>
          <w:sz w:val="28"/>
          <w:szCs w:val="28"/>
        </w:rPr>
        <w:t>словия и сроки диспансеризации населения для отдельных категорий населения;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11.Ц</w:t>
      </w:r>
      <w:r w:rsidR="007605D9" w:rsidRPr="007605D9">
        <w:rPr>
          <w:bCs/>
          <w:color w:val="000000"/>
          <w:sz w:val="28"/>
          <w:szCs w:val="28"/>
        </w:rPr>
        <w:t>елевые значения критериев доступности и качества медицинской помощи, оказываемой в рамках территориальной программы;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12.П</w:t>
      </w:r>
      <w:r w:rsidR="007605D9" w:rsidRPr="007605D9">
        <w:rPr>
          <w:bCs/>
          <w:color w:val="000000"/>
          <w:sz w:val="28"/>
          <w:szCs w:val="28"/>
        </w:rPr>
        <w:t>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7605D9" w:rsidRPr="007605D9" w:rsidRDefault="002273C0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13.С</w:t>
      </w:r>
      <w:r w:rsidR="007605D9" w:rsidRPr="007605D9">
        <w:rPr>
          <w:bCs/>
          <w:color w:val="000000"/>
          <w:sz w:val="28"/>
          <w:szCs w:val="28"/>
        </w:rPr>
        <w:t>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При этом: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сроки ожидания оказания первичной медико-санитарной помощи в неотложной форме не должны превышать 2 часов с момента обращения пациента в медицинскую организацию;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не должны превышать 30 календарных дней со дня выдачи лечащим врачом направления на госпитализацию;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сроки проведения консультаций врачей-специалистов не должны превышать 14 календарных дней со дня обращения пациента в медицинскую организацию;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</w:t>
      </w:r>
      <w:r w:rsidRPr="007605D9">
        <w:rPr>
          <w:bCs/>
          <w:color w:val="000000"/>
          <w:sz w:val="28"/>
          <w:szCs w:val="28"/>
        </w:rPr>
        <w:lastRenderedPageBreak/>
        <w:t>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 xml:space="preserve">Время </w:t>
      </w:r>
      <w:proofErr w:type="spellStart"/>
      <w:r w:rsidRPr="007605D9">
        <w:rPr>
          <w:bCs/>
          <w:color w:val="000000"/>
          <w:sz w:val="28"/>
          <w:szCs w:val="28"/>
        </w:rPr>
        <w:t>доезда</w:t>
      </w:r>
      <w:proofErr w:type="spellEnd"/>
      <w:r w:rsidRPr="007605D9">
        <w:rPr>
          <w:bCs/>
          <w:color w:val="000000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В территориальных программах время </w:t>
      </w:r>
      <w:proofErr w:type="spellStart"/>
      <w:r w:rsidRPr="007605D9">
        <w:rPr>
          <w:bCs/>
          <w:color w:val="000000"/>
          <w:sz w:val="28"/>
          <w:szCs w:val="28"/>
        </w:rPr>
        <w:t>доезда</w:t>
      </w:r>
      <w:proofErr w:type="spellEnd"/>
      <w:r w:rsidRPr="007605D9">
        <w:rPr>
          <w:bCs/>
          <w:color w:val="000000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7605D9">
        <w:rPr>
          <w:bCs/>
          <w:color w:val="000000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 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 </w:t>
      </w:r>
      <w:hyperlink r:id="rId9" w:anchor="block_4" w:history="1">
        <w:r w:rsidRPr="007605D9">
          <w:rPr>
            <w:rStyle w:val="a3"/>
            <w:bCs/>
            <w:color w:val="3272C0"/>
            <w:sz w:val="28"/>
            <w:szCs w:val="28"/>
          </w:rPr>
          <w:t>законодательства</w:t>
        </w:r>
      </w:hyperlink>
      <w:r w:rsidRPr="007605D9">
        <w:rPr>
          <w:bCs/>
          <w:color w:val="000000"/>
          <w:sz w:val="28"/>
          <w:szCs w:val="28"/>
        </w:rPr>
        <w:t> Российской Федерации в области персональных данных.</w:t>
      </w:r>
      <w:proofErr w:type="gramEnd"/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При формировании территориальной программы учитываются: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порядки оказания медицинской помощи и стандарты медицинской помощи;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особенности половозрастного состава населения субъекта Российской Федерации;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климатические и географические особенности региона и транспортная доступность медицинских организаций;</w:t>
      </w:r>
    </w:p>
    <w:p w:rsidR="007605D9" w:rsidRPr="007605D9" w:rsidRDefault="007605D9" w:rsidP="007605D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605D9">
        <w:rPr>
          <w:bCs/>
          <w:color w:val="000000"/>
          <w:sz w:val="28"/>
          <w:szCs w:val="28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 </w:t>
      </w:r>
      <w:hyperlink r:id="rId10" w:history="1">
        <w:r w:rsidRPr="007605D9">
          <w:rPr>
            <w:rStyle w:val="a3"/>
            <w:bCs/>
            <w:color w:val="3272C0"/>
            <w:sz w:val="28"/>
            <w:szCs w:val="28"/>
          </w:rPr>
          <w:t>законодательством</w:t>
        </w:r>
      </w:hyperlink>
      <w:r w:rsidRPr="007605D9">
        <w:rPr>
          <w:bCs/>
          <w:color w:val="000000"/>
          <w:sz w:val="28"/>
          <w:szCs w:val="28"/>
        </w:rPr>
        <w:t> Российской Федерации об обязательном медицинском страховании.</w:t>
      </w:r>
    </w:p>
    <w:p w:rsidR="007605D9" w:rsidRDefault="007605D9" w:rsidP="007605D9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432AC1" w:rsidRDefault="007605D9" w:rsidP="007605D9">
      <w:pPr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432AC1" w:rsidSect="002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24"/>
    <w:rsid w:val="000F7824"/>
    <w:rsid w:val="001455EE"/>
    <w:rsid w:val="002273C0"/>
    <w:rsid w:val="00262C72"/>
    <w:rsid w:val="00293F14"/>
    <w:rsid w:val="00432AC1"/>
    <w:rsid w:val="005E0726"/>
    <w:rsid w:val="007605D9"/>
    <w:rsid w:val="008E4A18"/>
    <w:rsid w:val="009150F0"/>
    <w:rsid w:val="0097502C"/>
    <w:rsid w:val="00D21277"/>
    <w:rsid w:val="00FC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C1"/>
    <w:rPr>
      <w:color w:val="0000FF" w:themeColor="hyperlink"/>
      <w:u w:val="single"/>
    </w:rPr>
  </w:style>
  <w:style w:type="paragraph" w:customStyle="1" w:styleId="s3">
    <w:name w:val="s_3"/>
    <w:basedOn w:val="a"/>
    <w:rsid w:val="0076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14389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268/f7ee959fd36b5699076b35abf4f52c5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268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91967/95ef042b11da42ac166eeedeb998f688/" TargetMode="External"/><Relationship Id="rId10" Type="http://schemas.openxmlformats.org/officeDocument/2006/relationships/hyperlink" Target="http://base.garant.ru/12180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Ивановна</dc:creator>
  <cp:lastModifiedBy>Пользователь</cp:lastModifiedBy>
  <cp:revision>7</cp:revision>
  <dcterms:created xsi:type="dcterms:W3CDTF">2019-03-18T11:45:00Z</dcterms:created>
  <dcterms:modified xsi:type="dcterms:W3CDTF">2019-03-19T09:28:00Z</dcterms:modified>
</cp:coreProperties>
</file>